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0C" w:rsidRPr="00AC1EE2" w:rsidRDefault="00AC1EE2" w:rsidP="00AC1E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C1EE2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C1EE2">
        <w:rPr>
          <w:rFonts w:ascii="Times New Roman" w:hAnsi="Times New Roman" w:cs="Times New Roman"/>
          <w:sz w:val="28"/>
          <w:szCs w:val="28"/>
          <w:shd w:val="clear" w:color="auto" w:fill="FFFFFF"/>
        </w:rPr>
        <w:t>Примеры математических моделей макроскопических процессов. Компьютерное моделирование воздействия на поверхность материала мощным ионным пучком.</w:t>
      </w:r>
    </w:p>
    <w:p w:rsidR="004F2A40" w:rsidRPr="004F2A40" w:rsidRDefault="00AC1E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</w:t>
      </w:r>
      <w:bookmarkStart w:id="0" w:name="_GoBack"/>
      <w:bookmarkEnd w:id="0"/>
      <w:r w:rsidRPr="00AC1EE2">
        <w:rPr>
          <w:rFonts w:ascii="Times New Roman" w:hAnsi="Times New Roman" w:cs="Times New Roman"/>
          <w:sz w:val="28"/>
          <w:szCs w:val="28"/>
          <w:shd w:val="clear" w:color="auto" w:fill="FFFFFF"/>
        </w:rPr>
        <w:t>Моделирование на основе микроскопических процессов. Метод молекулярной динамики.</w:t>
      </w:r>
    </w:p>
    <w:p w:rsidR="004F2A40" w:rsidRPr="00AC1EE2" w:rsidRDefault="00AC1EE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 w:rsidRPr="00AC1EE2">
        <w:rPr>
          <w:rFonts w:ascii="Times New Roman" w:hAnsi="Times New Roman" w:cs="Times New Roman"/>
          <w:sz w:val="28"/>
          <w:szCs w:val="28"/>
          <w:shd w:val="clear" w:color="auto" w:fill="FFFFFF"/>
        </w:rPr>
        <w:t>О непрерывности функций смешения (энтальпии смешения, энтропии смешения, объема смешения) на α/α+β и β/α+β фазовых границах T–x диаграммы состояния.</w:t>
      </w:r>
    </w:p>
    <w:sectPr w:rsidR="004F2A40" w:rsidRPr="00AC1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60B67"/>
    <w:multiLevelType w:val="hybridMultilevel"/>
    <w:tmpl w:val="553A1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40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2A40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C1EE2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00E7A"/>
  <w15:docId w15:val="{6CAEEF83-A878-41FB-9DBF-0C3E2051F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2020-11-03T21:07:00Z</dcterms:created>
  <dcterms:modified xsi:type="dcterms:W3CDTF">2020-11-23T05:43:00Z</dcterms:modified>
</cp:coreProperties>
</file>